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0967" w14:textId="77777777" w:rsidR="008F7FAD" w:rsidRPr="00B73F28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Modulo richiesta assegno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5103"/>
        <w:gridCol w:w="1524"/>
      </w:tblGrid>
      <w:tr w:rsidR="008F7FAD" w:rsidRPr="00F70053" w14:paraId="34F11DF1" w14:textId="77777777" w:rsidTr="00945AFC">
        <w:tc>
          <w:tcPr>
            <w:tcW w:w="2376" w:type="dxa"/>
            <w:shd w:val="clear" w:color="auto" w:fill="auto"/>
            <w:vAlign w:val="center"/>
          </w:tcPr>
          <w:p w14:paraId="26BC8AAA" w14:textId="77777777" w:rsidR="008F7FAD" w:rsidRPr="00F70053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  <w:t>TUTOR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A2051DC" w14:textId="77777777" w:rsidR="008F7FAD" w:rsidRPr="00F70053" w:rsidRDefault="00367A34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Riccardo Masetti</w:t>
            </w:r>
          </w:p>
        </w:tc>
      </w:tr>
      <w:tr w:rsidR="008F7FAD" w:rsidRPr="00F70053" w14:paraId="1438856E" w14:textId="77777777" w:rsidTr="00945AFC">
        <w:tc>
          <w:tcPr>
            <w:tcW w:w="2376" w:type="dxa"/>
            <w:shd w:val="clear" w:color="auto" w:fill="auto"/>
            <w:vAlign w:val="center"/>
          </w:tcPr>
          <w:p w14:paraId="21168929" w14:textId="77777777" w:rsidR="008F7FAD" w:rsidRDefault="008F7FAD" w:rsidP="00945AFC">
            <w:pPr>
              <w:spacing w:before="60" w:after="60"/>
              <w:jc w:val="both"/>
            </w:pPr>
            <w:r>
              <w:t>Fascia VRA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8989EDE" w14:textId="77777777" w:rsidR="008F7FAD" w:rsidRPr="00FE6CF6" w:rsidRDefault="008F7FAD" w:rsidP="00945AFC">
            <w:pPr>
              <w:spacing w:before="60" w:after="60"/>
              <w:jc w:val="both"/>
              <w:rPr>
                <w:b/>
                <w:sz w:val="14"/>
                <w:szCs w:val="28"/>
                <w:u w:val="single"/>
              </w:rPr>
            </w:pPr>
            <w:r w:rsidRPr="008F7FAD">
              <w:rPr>
                <w:b/>
                <w:color w:val="548DD4"/>
                <w:sz w:val="14"/>
                <w:szCs w:val="28"/>
                <w:u w:val="single"/>
              </w:rPr>
              <w:t>(compilazione a cura della Giunta)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1213949A" w14:textId="77777777" w:rsidR="008F7FAD" w:rsidRPr="00E71E71" w:rsidRDefault="008F7FAD" w:rsidP="00945AFC">
            <w:pPr>
              <w:spacing w:before="60" w:after="60"/>
              <w:jc w:val="both"/>
              <w:rPr>
                <w:i/>
              </w:rPr>
            </w:pPr>
            <w:r w:rsidRPr="00E71E71">
              <w:rPr>
                <w:i/>
              </w:rPr>
              <w:t>Punti</w:t>
            </w:r>
          </w:p>
        </w:tc>
      </w:tr>
      <w:tr w:rsidR="008F7FAD" w:rsidRPr="00F70053" w14:paraId="5A5F447D" w14:textId="77777777" w:rsidTr="00945AFC">
        <w:tc>
          <w:tcPr>
            <w:tcW w:w="8330" w:type="dxa"/>
            <w:gridSpan w:val="3"/>
            <w:shd w:val="clear" w:color="auto" w:fill="auto"/>
            <w:vAlign w:val="center"/>
          </w:tcPr>
          <w:p w14:paraId="57638A40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2E1FF5">
              <w:rPr>
                <w:b/>
                <w:sz w:val="28"/>
                <w:szCs w:val="28"/>
              </w:rPr>
              <w:t xml:space="preserve">PRODUZIONE SCIENTIFICA ASSEGNISTI </w:t>
            </w:r>
            <w:r w:rsidRPr="0083559D">
              <w:rPr>
                <w:b/>
                <w:sz w:val="28"/>
                <w:szCs w:val="28"/>
                <w:u w:val="single"/>
              </w:rPr>
              <w:t>NELL’ULTIMO QUADRIENNIO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20BBA96B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1F405970" w14:textId="77777777" w:rsidTr="00945AFC">
        <w:tc>
          <w:tcPr>
            <w:tcW w:w="3227" w:type="dxa"/>
            <w:gridSpan w:val="2"/>
            <w:shd w:val="clear" w:color="auto" w:fill="auto"/>
            <w:vAlign w:val="center"/>
          </w:tcPr>
          <w:p w14:paraId="13D3485A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1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2B8B6F7A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0676A262" w14:textId="77777777" w:rsidTr="001F4BC9">
        <w:trPr>
          <w:trHeight w:val="594"/>
        </w:trPr>
        <w:tc>
          <w:tcPr>
            <w:tcW w:w="3227" w:type="dxa"/>
            <w:gridSpan w:val="2"/>
            <w:vMerge w:val="restart"/>
            <w:shd w:val="clear" w:color="auto" w:fill="auto"/>
            <w:vAlign w:val="center"/>
          </w:tcPr>
          <w:p w14:paraId="02B3E76C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3559D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4AC1C385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7D100C88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104044A6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0C964CE1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3DA27604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6BBDB178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674E305E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2881DF28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1C965890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4ED04F5F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72F1A55C" w14:textId="77777777" w:rsidTr="00945AFC">
        <w:trPr>
          <w:trHeight w:val="4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CDBC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2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74B8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5076FEB9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78E" w14:textId="77777777" w:rsidR="001F4BC9" w:rsidRPr="00FE6CF6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8340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098432B5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DC33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2D9A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2E7791BE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F02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B6C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55EF2621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E1E4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C6B1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2F629607" w14:textId="77777777" w:rsidTr="00945AFC">
        <w:trPr>
          <w:trHeight w:val="4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1CF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3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9986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67A6EB36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5731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EC08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7FD17C99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5D93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738C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7A2E923E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0960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61CB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6A0D52C7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4B22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45DE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23843454" w14:textId="77777777" w:rsidTr="00945AFC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8352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4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144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099D4A05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3DF4" w14:textId="77777777" w:rsidR="001F4BC9" w:rsidRPr="00FE6CF6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lastRenderedPageBreak/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7F65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4E8B9028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4CE6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FE6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39CC5A53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2718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B861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061CA7B3" w14:textId="77777777" w:rsidTr="00984211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EA02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2FFC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14:paraId="145A26A4" w14:textId="77777777" w:rsidR="008F7FAD" w:rsidRDefault="008F7FAD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231C4" w:rsidRPr="00FE6CF6" w14:paraId="55F89FFF" w14:textId="77777777" w:rsidTr="00D90C0A">
        <w:trPr>
          <w:trHeight w:val="59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2649" w14:textId="77777777" w:rsidR="00A231C4" w:rsidRPr="00460601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460601">
              <w:rPr>
                <w:b/>
                <w:sz w:val="28"/>
                <w:szCs w:val="28"/>
              </w:rPr>
              <w:t>Commissione proposta</w:t>
            </w:r>
          </w:p>
          <w:p w14:paraId="658EAE03" w14:textId="77777777" w:rsidR="00A231C4" w:rsidRPr="00460601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 xml:space="preserve">3 commissari + </w:t>
            </w:r>
          </w:p>
          <w:p w14:paraId="2DB68DB8" w14:textId="77777777" w:rsidR="00A231C4" w:rsidRPr="00FE6CF6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>1 supplente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382" w14:textId="79C24C19" w:rsidR="00A231C4" w:rsidRPr="0021533C" w:rsidRDefault="00A34C06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MASETTI RICCARDO</w:t>
            </w:r>
          </w:p>
        </w:tc>
      </w:tr>
      <w:tr w:rsidR="00A231C4" w:rsidRPr="00FE6CF6" w14:paraId="5CC395DE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D773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1A23" w14:textId="69138A4E" w:rsidR="00A231C4" w:rsidRPr="0021533C" w:rsidRDefault="00A34C06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ARCANGELO PRETE</w:t>
            </w:r>
          </w:p>
        </w:tc>
      </w:tr>
      <w:tr w:rsidR="00A231C4" w:rsidRPr="00FE6CF6" w14:paraId="374B2EFE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47BB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A1DB" w14:textId="4CD8D1A2" w:rsidR="00A231C4" w:rsidRPr="0021533C" w:rsidRDefault="00A34C06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 BELOTTI</w:t>
            </w:r>
          </w:p>
        </w:tc>
      </w:tr>
      <w:tr w:rsidR="00A231C4" w:rsidRPr="00FE6CF6" w14:paraId="5882476F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9758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957" w14:textId="3CD4D601" w:rsidR="00A231C4" w:rsidRPr="0021533C" w:rsidRDefault="00A34C06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ELENA FACCHINI </w:t>
            </w:r>
            <w:bookmarkStart w:id="0" w:name="_GoBack"/>
            <w:bookmarkEnd w:id="0"/>
          </w:p>
        </w:tc>
      </w:tr>
    </w:tbl>
    <w:p w14:paraId="18FB5C72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7E164333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371CE7CD" w14:textId="77777777" w:rsidR="00A231C4" w:rsidRPr="00EC0BC6" w:rsidRDefault="00A231C4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680"/>
        <w:gridCol w:w="783"/>
        <w:gridCol w:w="65"/>
        <w:gridCol w:w="875"/>
        <w:gridCol w:w="1524"/>
      </w:tblGrid>
      <w:tr w:rsidR="008F7FAD" w:rsidRPr="00F70053" w14:paraId="63CD1AA7" w14:textId="77777777" w:rsidTr="00945AFC">
        <w:tc>
          <w:tcPr>
            <w:tcW w:w="9854" w:type="dxa"/>
            <w:gridSpan w:val="6"/>
            <w:shd w:val="clear" w:color="auto" w:fill="auto"/>
            <w:vAlign w:val="center"/>
          </w:tcPr>
          <w:p w14:paraId="6AF56914" w14:textId="77777777" w:rsidR="008F7FAD" w:rsidRPr="00D34E8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34E85">
              <w:rPr>
                <w:b/>
                <w:sz w:val="28"/>
                <w:szCs w:val="28"/>
              </w:rPr>
              <w:t>TITOLO DEL PROGETTO</w:t>
            </w:r>
            <w:r w:rsidR="006609C7">
              <w:rPr>
                <w:b/>
                <w:sz w:val="28"/>
                <w:szCs w:val="28"/>
              </w:rPr>
              <w:t>: Studio degli stadi precoci dell’ematopoiesi per identificare nuovi target terapeutici nell’ambito delle non-DS-AMKL pediatriche</w:t>
            </w:r>
          </w:p>
        </w:tc>
      </w:tr>
      <w:tr w:rsidR="008F7FAD" w:rsidRPr="00946994" w14:paraId="4552976A" w14:textId="77777777" w:rsidTr="00945AFC">
        <w:tc>
          <w:tcPr>
            <w:tcW w:w="9854" w:type="dxa"/>
            <w:gridSpan w:val="6"/>
            <w:shd w:val="clear" w:color="auto" w:fill="auto"/>
          </w:tcPr>
          <w:p w14:paraId="4E845235" w14:textId="77777777" w:rsidR="008F7FAD" w:rsidRPr="006609C7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F70053" w14:paraId="07025C62" w14:textId="77777777" w:rsidTr="00945AFC">
        <w:tc>
          <w:tcPr>
            <w:tcW w:w="4927" w:type="dxa"/>
            <w:shd w:val="clear" w:color="auto" w:fill="auto"/>
            <w:vAlign w:val="center"/>
          </w:tcPr>
          <w:p w14:paraId="0C87A763" w14:textId="77777777" w:rsidR="008F7FAD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ASSEGNO FINANZIATO DA PROGETTO COMPETITIVO</w:t>
            </w:r>
          </w:p>
          <w:p w14:paraId="4B2D2754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(barrare la casella corrispondente)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4A9B5B" w14:textId="77777777" w:rsidR="008F7FAD" w:rsidRPr="00F70053" w:rsidRDefault="00C83905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83905">
              <w:rPr>
                <w:sz w:val="36"/>
                <w:szCs w:val="36"/>
              </w:rPr>
              <w:t>X</w:t>
            </w:r>
            <w:r w:rsidR="008F7FAD">
              <w:rPr>
                <w:sz w:val="28"/>
                <w:szCs w:val="28"/>
              </w:rPr>
              <w:t>SI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2F36C3BB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2FFB652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799D2421" w14:textId="77777777" w:rsidTr="00945AFC">
        <w:tc>
          <w:tcPr>
            <w:tcW w:w="4927" w:type="dxa"/>
            <w:shd w:val="clear" w:color="auto" w:fill="auto"/>
            <w:vAlign w:val="center"/>
          </w:tcPr>
          <w:p w14:paraId="009EC0FF" w14:textId="77777777" w:rsidR="008F7FAD" w:rsidRPr="00F70053" w:rsidRDefault="008F7FAD" w:rsidP="00945AF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SE IL FINANZIAMENTO È COMPETITIVO L’ENTE FINANZIATORE 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655E9C40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F70053" w14:paraId="00C8602B" w14:textId="77777777" w:rsidTr="00945AFC">
        <w:tc>
          <w:tcPr>
            <w:tcW w:w="4927" w:type="dxa"/>
            <w:shd w:val="clear" w:color="auto" w:fill="auto"/>
            <w:vAlign w:val="center"/>
          </w:tcPr>
          <w:p w14:paraId="1C800C56" w14:textId="77777777" w:rsidR="008F7FAD" w:rsidRDefault="008F7FAD" w:rsidP="00945AF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PROGETTO/ATTIVITÀ A SCOPO COMMERCIALE</w:t>
            </w:r>
          </w:p>
          <w:p w14:paraId="77660CF1" w14:textId="77777777" w:rsidR="008F7FAD" w:rsidRPr="005918FB" w:rsidRDefault="008F7FAD" w:rsidP="00945AFC">
            <w:pPr>
              <w:spacing w:before="60" w:after="60"/>
              <w:rPr>
                <w:i/>
                <w:sz w:val="21"/>
                <w:szCs w:val="21"/>
              </w:rPr>
            </w:pPr>
            <w:r w:rsidRPr="005918FB">
              <w:rPr>
                <w:i/>
                <w:sz w:val="21"/>
                <w:szCs w:val="21"/>
              </w:rPr>
              <w:t>(es. sperimentazione profit)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210B6141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14:paraId="4C9EBD13" w14:textId="77777777" w:rsidR="008F7FAD" w:rsidRPr="00F70053" w:rsidRDefault="00160BD6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 xml:space="preserve">X </w:t>
            </w:r>
            <w:r w:rsidR="008F7FAD">
              <w:rPr>
                <w:sz w:val="28"/>
                <w:szCs w:val="28"/>
              </w:rPr>
              <w:t>NO</w:t>
            </w:r>
          </w:p>
        </w:tc>
      </w:tr>
      <w:tr w:rsidR="008F7FAD" w:rsidRPr="00F70053" w14:paraId="29F3FDC7" w14:textId="77777777" w:rsidTr="00945AFC">
        <w:tc>
          <w:tcPr>
            <w:tcW w:w="4927" w:type="dxa"/>
            <w:shd w:val="clear" w:color="auto" w:fill="auto"/>
            <w:vAlign w:val="center"/>
          </w:tcPr>
          <w:p w14:paraId="221DF211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140C4">
              <w:rPr>
                <w:sz w:val="21"/>
                <w:szCs w:val="21"/>
              </w:rPr>
              <w:t>CARATTERISTICHE DEL PROGETTO</w:t>
            </w:r>
            <w:r>
              <w:rPr>
                <w:sz w:val="21"/>
                <w:szCs w:val="21"/>
              </w:rPr>
              <w:t xml:space="preserve"> (</w:t>
            </w:r>
            <w:r w:rsidRPr="002E1FF5">
              <w:rPr>
                <w:i/>
                <w:sz w:val="21"/>
                <w:szCs w:val="21"/>
              </w:rPr>
              <w:t>biomedico/osservazionale/clinico-interventistico/multidisciplinare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71DC429A" w14:textId="77777777" w:rsidR="008F7FAD" w:rsidRPr="00F70053" w:rsidRDefault="0092390B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Biomedico</w:t>
            </w:r>
          </w:p>
        </w:tc>
      </w:tr>
      <w:tr w:rsidR="008F7FAD" w:rsidRPr="00F70053" w14:paraId="16AFCBE7" w14:textId="77777777" w:rsidTr="00945AFC">
        <w:tc>
          <w:tcPr>
            <w:tcW w:w="4927" w:type="dxa"/>
            <w:shd w:val="clear" w:color="auto" w:fill="auto"/>
            <w:vAlign w:val="center"/>
          </w:tcPr>
          <w:p w14:paraId="105B85DA" w14:textId="77777777" w:rsidR="008F7FAD" w:rsidRPr="002140C4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STATO DI APPROVAZIONE DEL PROGETTO DA PARTE DEL COMITATO ETICO (</w:t>
            </w:r>
            <w:r w:rsidRPr="002140C4">
              <w:rPr>
                <w:i/>
                <w:sz w:val="21"/>
                <w:szCs w:val="21"/>
              </w:rPr>
              <w:t>se necessario per il tipo di studio</w:t>
            </w:r>
            <w:r>
              <w:rPr>
                <w:i/>
                <w:sz w:val="21"/>
                <w:szCs w:val="21"/>
              </w:rPr>
              <w:t xml:space="preserve"> barrare o evidenziare la casella corrispondente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222AA568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Ottenuto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59185CDF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>Da ottenere</w:t>
            </w:r>
          </w:p>
        </w:tc>
      </w:tr>
      <w:tr w:rsidR="008F7FAD" w:rsidRPr="002E1FF5" w14:paraId="2C111935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712E1E2E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D34E85">
              <w:rPr>
                <w:b/>
                <w:sz w:val="28"/>
                <w:szCs w:val="28"/>
              </w:rPr>
              <w:t xml:space="preserve"> DEL PROGETTO</w:t>
            </w: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max 8</w:t>
            </w:r>
            <w:r w:rsidRPr="00F70053">
              <w:rPr>
                <w:i/>
                <w:sz w:val="20"/>
                <w:szCs w:val="20"/>
              </w:rPr>
              <w:t>00 parole)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1148AC92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8D5F93" w14:paraId="2F0313E6" w14:textId="77777777" w:rsidTr="00945AFC">
        <w:trPr>
          <w:trHeight w:val="4178"/>
        </w:trPr>
        <w:tc>
          <w:tcPr>
            <w:tcW w:w="9854" w:type="dxa"/>
            <w:gridSpan w:val="6"/>
            <w:shd w:val="clear" w:color="auto" w:fill="auto"/>
          </w:tcPr>
          <w:p w14:paraId="2700DAA0" w14:textId="77777777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lastRenderedPageBreak/>
              <w:t>Stato dell’Arte e Razionale</w:t>
            </w:r>
          </w:p>
          <w:p w14:paraId="66CFF3D4" w14:textId="2CE9C761" w:rsidR="00D22BC8" w:rsidRDefault="00D22BC8" w:rsidP="00367A34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  <w:r w:rsidRPr="00D22BC8">
              <w:rPr>
                <w:bCs/>
                <w:sz w:val="21"/>
                <w:szCs w:val="21"/>
              </w:rPr>
              <w:t xml:space="preserve">Le leucemie </w:t>
            </w:r>
            <w:proofErr w:type="spellStart"/>
            <w:r w:rsidRPr="00D22BC8">
              <w:rPr>
                <w:bCs/>
                <w:sz w:val="21"/>
                <w:szCs w:val="21"/>
              </w:rPr>
              <w:t>megacarioblastiche</w:t>
            </w:r>
            <w:proofErr w:type="spellEnd"/>
            <w:r w:rsidRPr="00D22BC8">
              <w:rPr>
                <w:bCs/>
                <w:sz w:val="21"/>
                <w:szCs w:val="21"/>
              </w:rPr>
              <w:t xml:space="preserve"> acute non </w:t>
            </w:r>
            <w:r>
              <w:rPr>
                <w:bCs/>
                <w:sz w:val="21"/>
                <w:szCs w:val="21"/>
              </w:rPr>
              <w:t>associate</w:t>
            </w:r>
            <w:r w:rsidRPr="00D22BC8">
              <w:rPr>
                <w:bCs/>
                <w:sz w:val="21"/>
                <w:szCs w:val="21"/>
              </w:rPr>
              <w:t xml:space="preserve"> a s</w:t>
            </w:r>
            <w:r>
              <w:rPr>
                <w:bCs/>
                <w:sz w:val="21"/>
                <w:szCs w:val="21"/>
              </w:rPr>
              <w:t>i</w:t>
            </w:r>
            <w:r w:rsidRPr="00D22BC8">
              <w:rPr>
                <w:bCs/>
                <w:sz w:val="21"/>
                <w:szCs w:val="21"/>
              </w:rPr>
              <w:t>ndrome di Down</w:t>
            </w:r>
            <w:r>
              <w:rPr>
                <w:bCs/>
                <w:sz w:val="21"/>
                <w:szCs w:val="21"/>
              </w:rPr>
              <w:t xml:space="preserve"> (non-DS-AMKL) rappresentano circa il 4-15% delle leucemie mieloidi acute pediatriche (AML). Un terzo delle non-DS-AMKL sono caratterizzate dalla presenza di geni di fusione, </w:t>
            </w:r>
            <w:r w:rsidR="00C307A1">
              <w:rPr>
                <w:bCs/>
                <w:sz w:val="21"/>
                <w:szCs w:val="21"/>
              </w:rPr>
              <w:t>tra i quali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941C6D">
              <w:rPr>
                <w:bCs/>
                <w:sz w:val="21"/>
                <w:szCs w:val="21"/>
              </w:rPr>
              <w:t>MLL-AF9</w:t>
            </w:r>
            <w:r>
              <w:rPr>
                <w:bCs/>
                <w:sz w:val="21"/>
                <w:szCs w:val="21"/>
              </w:rPr>
              <w:t xml:space="preserve">, </w:t>
            </w:r>
            <w:r w:rsidR="00C307A1">
              <w:rPr>
                <w:bCs/>
                <w:sz w:val="21"/>
                <w:szCs w:val="21"/>
              </w:rPr>
              <w:t xml:space="preserve">associato a prognosi infausta. </w:t>
            </w:r>
            <w:r w:rsidR="00C307A1" w:rsidRPr="00C307A1">
              <w:rPr>
                <w:bCs/>
                <w:sz w:val="21"/>
                <w:szCs w:val="21"/>
              </w:rPr>
              <w:t>È stato dimostrato che</w:t>
            </w:r>
            <w:r w:rsidR="00C307A1">
              <w:rPr>
                <w:bCs/>
                <w:sz w:val="21"/>
                <w:szCs w:val="21"/>
              </w:rPr>
              <w:t xml:space="preserve"> non-DS-AMKL recanti questo gene di fusione vengono diagnosticate ad </w:t>
            </w:r>
            <w:proofErr w:type="gramStart"/>
            <w:r w:rsidR="00C307A1">
              <w:rPr>
                <w:bCs/>
                <w:sz w:val="21"/>
                <w:szCs w:val="21"/>
              </w:rPr>
              <w:t>un età</w:t>
            </w:r>
            <w:proofErr w:type="gramEnd"/>
            <w:r w:rsidR="00C307A1">
              <w:rPr>
                <w:bCs/>
                <w:sz w:val="21"/>
                <w:szCs w:val="21"/>
              </w:rPr>
              <w:t xml:space="preserve"> significativamente più bassa rispetto ad altri pazienti con AML. Inoltre, studi recenti hanno evidenziato che l’ematopoiesi fetale è più suscettibile alla trasformazione neoplastica a AMKL, sottolineando il ruolo chiave d</w:t>
            </w:r>
            <w:r w:rsidR="00DA5F87">
              <w:rPr>
                <w:bCs/>
                <w:sz w:val="21"/>
                <w:szCs w:val="21"/>
              </w:rPr>
              <w:t>elle</w:t>
            </w:r>
            <w:r w:rsidR="00C307A1">
              <w:rPr>
                <w:bCs/>
                <w:sz w:val="21"/>
                <w:szCs w:val="21"/>
              </w:rPr>
              <w:t xml:space="preserve"> cellule staminali progenitrici derivate dalla via fetale </w:t>
            </w:r>
            <w:r w:rsidR="00160BD6">
              <w:rPr>
                <w:bCs/>
                <w:sz w:val="21"/>
                <w:szCs w:val="21"/>
              </w:rPr>
              <w:t>nella trasformazione neoplastica</w:t>
            </w:r>
            <w:r w:rsidR="00C307A1">
              <w:rPr>
                <w:bCs/>
                <w:sz w:val="21"/>
                <w:szCs w:val="21"/>
              </w:rPr>
              <w:t>. Durante lo sviluppo embrionale sono almeno tre le vie ematopoietiche che si possono distinguere: l’ematopoiesi extraembrionale</w:t>
            </w:r>
            <w:r w:rsidR="00A525B1">
              <w:rPr>
                <w:bCs/>
                <w:sz w:val="21"/>
                <w:szCs w:val="21"/>
              </w:rPr>
              <w:t xml:space="preserve"> da sacco vitellino che dà origine alla via primitiva e ai EMP (progenitori </w:t>
            </w:r>
            <w:proofErr w:type="spellStart"/>
            <w:r w:rsidR="00A525B1">
              <w:rPr>
                <w:bCs/>
                <w:sz w:val="21"/>
                <w:szCs w:val="21"/>
              </w:rPr>
              <w:t>eritro</w:t>
            </w:r>
            <w:proofErr w:type="spellEnd"/>
            <w:r w:rsidR="00A525B1">
              <w:rPr>
                <w:bCs/>
                <w:sz w:val="21"/>
                <w:szCs w:val="21"/>
              </w:rPr>
              <w:t>-mieloidi) seguita dal programma definitivo intra-embrionale, che dà origine alle cellule staminali ematopoietiche e a tutte le tipologie cellulari che ritroviamo nel sangue dell’adulto.</w:t>
            </w:r>
            <w:r w:rsidR="00F342FD">
              <w:rPr>
                <w:bCs/>
                <w:sz w:val="21"/>
                <w:szCs w:val="21"/>
              </w:rPr>
              <w:t xml:space="preserve"> I progenitori derivanti da ognuna di queste vie si muovono verso il fegato fetale per completare la loro maturazione, e ricerche recenti hanno confermato che qui ritroviamo due distinte popolazioni di progenitori </w:t>
            </w:r>
            <w:proofErr w:type="spellStart"/>
            <w:r w:rsidR="00F342FD">
              <w:rPr>
                <w:bCs/>
                <w:sz w:val="21"/>
                <w:szCs w:val="21"/>
              </w:rPr>
              <w:t>megacariocitici-eritroidi-mastocitici</w:t>
            </w:r>
            <w:proofErr w:type="spellEnd"/>
            <w:r w:rsidR="00B02051">
              <w:rPr>
                <w:bCs/>
                <w:sz w:val="21"/>
                <w:szCs w:val="21"/>
              </w:rPr>
              <w:t xml:space="preserve">, una delle quali è una popolazione altamente </w:t>
            </w:r>
            <w:proofErr w:type="spellStart"/>
            <w:r w:rsidR="00B02051">
              <w:rPr>
                <w:bCs/>
                <w:sz w:val="21"/>
                <w:szCs w:val="21"/>
              </w:rPr>
              <w:t>ciclante</w:t>
            </w:r>
            <w:proofErr w:type="spellEnd"/>
            <w:r w:rsidR="00B02051">
              <w:rPr>
                <w:bCs/>
                <w:sz w:val="21"/>
                <w:szCs w:val="21"/>
              </w:rPr>
              <w:t>, il che suggerisce che possa essere quella più suscettibile alla trasformazione maligna.</w:t>
            </w:r>
          </w:p>
          <w:p w14:paraId="52CA05B3" w14:textId="77777777" w:rsidR="00367A34" w:rsidRPr="00367A34" w:rsidRDefault="00B02051" w:rsidP="00367A34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L’ipotesi del progetto è che i precursori ematopoietici derivanti da diverse vie dello sviluppo ematopoietico mostrino un diverso grado di suscettibilità ad </w:t>
            </w:r>
            <w:r w:rsidR="00160BD6">
              <w:rPr>
                <w:bCs/>
                <w:sz w:val="21"/>
                <w:szCs w:val="21"/>
              </w:rPr>
              <w:t xml:space="preserve">aberrazioni genetiche e a conseguente trasformazione in </w:t>
            </w:r>
            <w:r>
              <w:rPr>
                <w:bCs/>
                <w:sz w:val="21"/>
                <w:szCs w:val="21"/>
              </w:rPr>
              <w:t>AMKL. Sulla base delle conoscenze attuali basate su modelli murini e su</w:t>
            </w:r>
            <w:r w:rsidR="00DB3CD2">
              <w:rPr>
                <w:bCs/>
                <w:sz w:val="21"/>
                <w:szCs w:val="21"/>
              </w:rPr>
              <w:t xml:space="preserve"> dati di </w:t>
            </w:r>
            <w:proofErr w:type="spellStart"/>
            <w:r w:rsidR="00DB3CD2" w:rsidRPr="00160BD6">
              <w:rPr>
                <w:bCs/>
                <w:i/>
                <w:sz w:val="21"/>
                <w:szCs w:val="21"/>
              </w:rPr>
              <w:t>sequencing</w:t>
            </w:r>
            <w:proofErr w:type="spellEnd"/>
            <w:r w:rsidR="00DB3CD2">
              <w:rPr>
                <w:bCs/>
                <w:sz w:val="21"/>
                <w:szCs w:val="21"/>
              </w:rPr>
              <w:t xml:space="preserve"> relativi a progenitori ematopoietici di fegato fetale, si ipotizza che l’ematopoiesi extraembrionale date le sue proprietà in termini di </w:t>
            </w:r>
            <w:r w:rsidR="00DB3CD2" w:rsidRPr="00160BD6">
              <w:rPr>
                <w:bCs/>
                <w:i/>
                <w:sz w:val="21"/>
                <w:szCs w:val="21"/>
              </w:rPr>
              <w:t>self</w:t>
            </w:r>
            <w:r w:rsidR="00DB3CD2">
              <w:rPr>
                <w:bCs/>
                <w:sz w:val="21"/>
                <w:szCs w:val="21"/>
              </w:rPr>
              <w:t>-</w:t>
            </w:r>
            <w:proofErr w:type="spellStart"/>
            <w:r w:rsidR="00DB3CD2" w:rsidRPr="00160BD6">
              <w:rPr>
                <w:bCs/>
                <w:i/>
                <w:sz w:val="21"/>
                <w:szCs w:val="21"/>
              </w:rPr>
              <w:t>renewal</w:t>
            </w:r>
            <w:proofErr w:type="spellEnd"/>
            <w:r w:rsidR="00DB3CD2">
              <w:rPr>
                <w:bCs/>
                <w:sz w:val="21"/>
                <w:szCs w:val="21"/>
              </w:rPr>
              <w:t xml:space="preserve"> possa contribuire in maniera significativa nell’esordio di questa leucemia.</w:t>
            </w:r>
          </w:p>
          <w:p w14:paraId="2B497D45" w14:textId="77777777" w:rsidR="008F7FAD" w:rsidRPr="00DB3CD2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</w:p>
          <w:p w14:paraId="3D57805B" w14:textId="77777777" w:rsidR="008F7FAD" w:rsidRPr="00C83905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C83905">
              <w:rPr>
                <w:b/>
                <w:sz w:val="21"/>
                <w:szCs w:val="21"/>
              </w:rPr>
              <w:t>Obiettivi</w:t>
            </w:r>
          </w:p>
          <w:p w14:paraId="60E3F70D" w14:textId="77777777" w:rsidR="00DB3CD2" w:rsidRPr="00C83905" w:rsidRDefault="00DB3CD2" w:rsidP="00367A34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</w:p>
          <w:p w14:paraId="24899F51" w14:textId="59E269DA" w:rsidR="00DB3CD2" w:rsidRPr="00DB3CD2" w:rsidRDefault="00EC0D2C" w:rsidP="00367A34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  <w:r w:rsidRPr="00FC4D89">
              <w:rPr>
                <w:bCs/>
                <w:sz w:val="21"/>
                <w:szCs w:val="21"/>
              </w:rPr>
              <w:t xml:space="preserve">L’obiettivo del progetto è di creare un modello preclinico in grado di riprodurre le caratteristiche molecolari e cellulari </w:t>
            </w:r>
            <w:r w:rsidR="00DB3CD2">
              <w:rPr>
                <w:bCs/>
                <w:sz w:val="21"/>
                <w:szCs w:val="21"/>
              </w:rPr>
              <w:t>delle non-DS-AMKL pediatriche</w:t>
            </w:r>
            <w:r>
              <w:rPr>
                <w:bCs/>
                <w:sz w:val="21"/>
                <w:szCs w:val="21"/>
              </w:rPr>
              <w:t xml:space="preserve">, grazie all’utilizzo di </w:t>
            </w:r>
            <w:r w:rsidR="00DB3CD2">
              <w:rPr>
                <w:bCs/>
                <w:sz w:val="21"/>
                <w:szCs w:val="21"/>
              </w:rPr>
              <w:t>cellule staminali pluripotenti indotte (</w:t>
            </w:r>
            <w:proofErr w:type="spellStart"/>
            <w:r w:rsidR="00DB3CD2">
              <w:rPr>
                <w:bCs/>
                <w:sz w:val="21"/>
                <w:szCs w:val="21"/>
              </w:rPr>
              <w:t>iPSC</w:t>
            </w:r>
            <w:proofErr w:type="spellEnd"/>
            <w:r w:rsidR="00DB3CD2">
              <w:rPr>
                <w:bCs/>
                <w:sz w:val="21"/>
                <w:szCs w:val="21"/>
              </w:rPr>
              <w:t>)</w:t>
            </w:r>
            <w:r>
              <w:rPr>
                <w:bCs/>
                <w:sz w:val="21"/>
                <w:szCs w:val="21"/>
              </w:rPr>
              <w:t xml:space="preserve">. L’espressione in queste cellule di uno dei geni di fusione più ricorrenti in questa patologia, </w:t>
            </w:r>
            <w:r w:rsidR="00DA27AE">
              <w:rPr>
                <w:bCs/>
                <w:sz w:val="21"/>
                <w:szCs w:val="21"/>
              </w:rPr>
              <w:t>MLL-AF9</w:t>
            </w:r>
            <w:r>
              <w:rPr>
                <w:bCs/>
                <w:sz w:val="21"/>
                <w:szCs w:val="21"/>
              </w:rPr>
              <w:t>, renderà possibile</w:t>
            </w:r>
            <w:r w:rsidR="00E6204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lo studio approfondito dell’ematopoiesi replicando ciò che avviene nei primi stadi di sviluppo fetale, valutando </w:t>
            </w:r>
            <w:proofErr w:type="gramStart"/>
            <w:r w:rsidR="008334B8">
              <w:rPr>
                <w:bCs/>
                <w:sz w:val="21"/>
                <w:szCs w:val="21"/>
              </w:rPr>
              <w:t>l’ origine</w:t>
            </w:r>
            <w:proofErr w:type="gramEnd"/>
            <w:r w:rsidR="00E62047">
              <w:rPr>
                <w:bCs/>
                <w:sz w:val="21"/>
                <w:szCs w:val="21"/>
              </w:rPr>
              <w:t xml:space="preserve"> </w:t>
            </w:r>
            <w:r w:rsidR="008334B8">
              <w:rPr>
                <w:bCs/>
                <w:sz w:val="21"/>
                <w:szCs w:val="21"/>
              </w:rPr>
              <w:t>del</w:t>
            </w:r>
            <w:r>
              <w:rPr>
                <w:bCs/>
                <w:sz w:val="21"/>
                <w:szCs w:val="21"/>
              </w:rPr>
              <w:t>la trasformazione neoplastica</w:t>
            </w:r>
            <w:r w:rsidR="008334B8">
              <w:rPr>
                <w:bCs/>
                <w:sz w:val="21"/>
                <w:szCs w:val="21"/>
              </w:rPr>
              <w:t>.</w:t>
            </w:r>
          </w:p>
          <w:p w14:paraId="4EB1A7FD" w14:textId="77777777" w:rsidR="008F7FAD" w:rsidRPr="00C83905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</w:p>
          <w:p w14:paraId="10866C48" w14:textId="77777777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Metodologia (</w:t>
            </w:r>
            <w:r w:rsidRPr="00DB1934">
              <w:rPr>
                <w:b/>
                <w:i/>
                <w:sz w:val="21"/>
                <w:szCs w:val="21"/>
              </w:rPr>
              <w:t>descrizione del campione, principali tecniche utilizzate, aspetti biostatistici</w:t>
            </w:r>
            <w:r>
              <w:rPr>
                <w:b/>
                <w:i/>
                <w:sz w:val="21"/>
                <w:szCs w:val="21"/>
              </w:rPr>
              <w:t>, fattibilità</w:t>
            </w:r>
            <w:r w:rsidRPr="00DB1934">
              <w:rPr>
                <w:b/>
                <w:i/>
                <w:sz w:val="21"/>
                <w:szCs w:val="21"/>
              </w:rPr>
              <w:t>…</w:t>
            </w:r>
            <w:r w:rsidRPr="00DB1934">
              <w:rPr>
                <w:b/>
                <w:sz w:val="21"/>
                <w:szCs w:val="21"/>
              </w:rPr>
              <w:t>)</w:t>
            </w:r>
          </w:p>
          <w:p w14:paraId="0FF4B1B1" w14:textId="77777777" w:rsidR="00294A95" w:rsidRDefault="00294A95" w:rsidP="00367A34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</w:p>
          <w:p w14:paraId="39519B3C" w14:textId="63AC1936" w:rsidR="008F7FAD" w:rsidRPr="003A4C5F" w:rsidRDefault="00294A95" w:rsidP="00945AFC">
            <w:pPr>
              <w:pStyle w:val="NormaleWeb"/>
              <w:spacing w:before="0" w:beforeAutospacing="0" w:after="120" w:afterAutospacing="0"/>
              <w:jc w:val="both"/>
              <w:rPr>
                <w:bCs/>
                <w:sz w:val="21"/>
                <w:szCs w:val="21"/>
              </w:rPr>
            </w:pPr>
            <w:r w:rsidRPr="00294A95">
              <w:rPr>
                <w:bCs/>
                <w:sz w:val="21"/>
                <w:szCs w:val="21"/>
              </w:rPr>
              <w:t>Attraverso la manipolazione di vettori virali</w:t>
            </w:r>
            <w:r w:rsidR="00160BD6">
              <w:rPr>
                <w:bCs/>
                <w:sz w:val="21"/>
                <w:szCs w:val="21"/>
              </w:rPr>
              <w:t xml:space="preserve"> e </w:t>
            </w:r>
            <w:proofErr w:type="spellStart"/>
            <w:r w:rsidR="00160BD6" w:rsidRPr="00160BD6">
              <w:rPr>
                <w:bCs/>
                <w:i/>
                <w:sz w:val="21"/>
                <w:szCs w:val="21"/>
              </w:rPr>
              <w:t>genome</w:t>
            </w:r>
            <w:proofErr w:type="spellEnd"/>
            <w:r w:rsidR="00160BD6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="00160BD6" w:rsidRPr="00160BD6">
              <w:rPr>
                <w:bCs/>
                <w:i/>
                <w:sz w:val="21"/>
                <w:szCs w:val="21"/>
              </w:rPr>
              <w:t>editing</w:t>
            </w:r>
            <w:r w:rsidR="00160BD6">
              <w:rPr>
                <w:bCs/>
                <w:i/>
                <w:sz w:val="21"/>
                <w:szCs w:val="21"/>
              </w:rPr>
              <w:t xml:space="preserve">, </w:t>
            </w:r>
            <w:r w:rsidR="00160BD6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cellule</w:t>
            </w:r>
            <w:proofErr w:type="gram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iPSC</w:t>
            </w:r>
            <w:proofErr w:type="spellEnd"/>
            <w:r w:rsidR="00160BD6">
              <w:rPr>
                <w:bCs/>
                <w:sz w:val="21"/>
                <w:szCs w:val="21"/>
              </w:rPr>
              <w:t xml:space="preserve"> </w:t>
            </w:r>
            <w:r w:rsidR="003A4C5F">
              <w:rPr>
                <w:bCs/>
                <w:sz w:val="21"/>
                <w:szCs w:val="21"/>
              </w:rPr>
              <w:t xml:space="preserve">derivate da donatore sano </w:t>
            </w:r>
            <w:r>
              <w:rPr>
                <w:bCs/>
                <w:sz w:val="21"/>
                <w:szCs w:val="21"/>
              </w:rPr>
              <w:t xml:space="preserve">verranno </w:t>
            </w:r>
            <w:r w:rsidR="00160BD6">
              <w:rPr>
                <w:bCs/>
                <w:sz w:val="21"/>
                <w:szCs w:val="21"/>
              </w:rPr>
              <w:t>ingegnerizzate a</w:t>
            </w:r>
            <w:r>
              <w:rPr>
                <w:bCs/>
                <w:sz w:val="21"/>
                <w:szCs w:val="21"/>
              </w:rPr>
              <w:t xml:space="preserve"> esprimere il gene di fusione </w:t>
            </w:r>
            <w:r w:rsidR="00DA27AE">
              <w:rPr>
                <w:bCs/>
                <w:sz w:val="21"/>
                <w:szCs w:val="21"/>
              </w:rPr>
              <w:t>MLL-AF9</w:t>
            </w:r>
            <w:r>
              <w:rPr>
                <w:bCs/>
                <w:sz w:val="21"/>
                <w:szCs w:val="21"/>
              </w:rPr>
              <w:t>. Queste cellule verranno differenziate in senso ematopoietico sfruttando diversi protocolli</w:t>
            </w:r>
            <w:r w:rsidR="003A4C5F">
              <w:rPr>
                <w:bCs/>
                <w:sz w:val="21"/>
                <w:szCs w:val="21"/>
              </w:rPr>
              <w:t xml:space="preserve">, basati sull’utilizzo di combinazioni diverse di specifiche citochine, </w:t>
            </w:r>
            <w:r>
              <w:rPr>
                <w:bCs/>
                <w:sz w:val="21"/>
                <w:szCs w:val="21"/>
              </w:rPr>
              <w:t xml:space="preserve">così da esaminare </w:t>
            </w:r>
            <w:r w:rsidR="00DA27AE">
              <w:rPr>
                <w:bCs/>
                <w:sz w:val="21"/>
                <w:szCs w:val="21"/>
              </w:rPr>
              <w:t>in particolare due</w:t>
            </w:r>
            <w:r>
              <w:rPr>
                <w:bCs/>
                <w:sz w:val="21"/>
                <w:szCs w:val="21"/>
              </w:rPr>
              <w:t xml:space="preserve"> vie ematopoietiche</w:t>
            </w:r>
            <w:r w:rsidR="00DA27AE">
              <w:rPr>
                <w:bCs/>
                <w:sz w:val="21"/>
                <w:szCs w:val="21"/>
              </w:rPr>
              <w:t xml:space="preserve"> precoci extraembrionali derivanti dal sacco vitellino, la via primitiva e quella </w:t>
            </w:r>
            <w:r w:rsidR="00DA27AE" w:rsidRPr="00DA27AE">
              <w:rPr>
                <w:bCs/>
                <w:sz w:val="21"/>
                <w:szCs w:val="21"/>
              </w:rPr>
              <w:t>EMP (</w:t>
            </w:r>
            <w:r w:rsidR="00941C6D">
              <w:rPr>
                <w:bCs/>
                <w:sz w:val="21"/>
                <w:szCs w:val="21"/>
              </w:rPr>
              <w:t>progenitori eritro-mieloidi</w:t>
            </w:r>
            <w:r w:rsidR="00DA27AE" w:rsidRPr="00DA27AE">
              <w:rPr>
                <w:bCs/>
                <w:sz w:val="21"/>
                <w:szCs w:val="21"/>
              </w:rPr>
              <w:t>)</w:t>
            </w:r>
            <w:r w:rsidR="009864AD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La caratterizzazione del modello avverrà grazie all’</w:t>
            </w:r>
            <w:r w:rsidR="003A4C5F">
              <w:rPr>
                <w:bCs/>
                <w:sz w:val="21"/>
                <w:szCs w:val="21"/>
              </w:rPr>
              <w:t>analisi dell’</w:t>
            </w:r>
            <w:proofErr w:type="spellStart"/>
            <w:r w:rsidR="003A4C5F">
              <w:rPr>
                <w:bCs/>
                <w:sz w:val="21"/>
                <w:szCs w:val="21"/>
              </w:rPr>
              <w:t>immuno</w:t>
            </w:r>
            <w:proofErr w:type="spellEnd"/>
            <w:r w:rsidR="00160BD6">
              <w:rPr>
                <w:bCs/>
                <w:sz w:val="21"/>
                <w:szCs w:val="21"/>
              </w:rPr>
              <w:t xml:space="preserve"> </w:t>
            </w:r>
            <w:r w:rsidR="003A4C5F">
              <w:rPr>
                <w:bCs/>
                <w:sz w:val="21"/>
                <w:szCs w:val="21"/>
              </w:rPr>
              <w:t>fenotipo</w:t>
            </w:r>
            <w:r w:rsidR="00160BD6">
              <w:rPr>
                <w:bCs/>
                <w:sz w:val="21"/>
                <w:szCs w:val="21"/>
              </w:rPr>
              <w:t xml:space="preserve"> </w:t>
            </w:r>
            <w:r w:rsidR="003A4C5F">
              <w:rPr>
                <w:bCs/>
                <w:sz w:val="21"/>
                <w:szCs w:val="21"/>
              </w:rPr>
              <w:t>mediante</w:t>
            </w:r>
            <w:r w:rsidR="00160BD6"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citofluorimetria</w:t>
            </w:r>
            <w:proofErr w:type="spellEnd"/>
            <w:r>
              <w:rPr>
                <w:bCs/>
                <w:sz w:val="21"/>
                <w:szCs w:val="21"/>
              </w:rPr>
              <w:t>,</w:t>
            </w:r>
            <w:r w:rsidR="003A4C5F">
              <w:rPr>
                <w:bCs/>
                <w:sz w:val="21"/>
                <w:szCs w:val="21"/>
              </w:rPr>
              <w:t xml:space="preserve"> nonché utilizzando saggi </w:t>
            </w:r>
            <w:proofErr w:type="spellStart"/>
            <w:r w:rsidR="003A4C5F">
              <w:rPr>
                <w:bCs/>
                <w:sz w:val="21"/>
                <w:szCs w:val="21"/>
              </w:rPr>
              <w:t>clonogenici</w:t>
            </w:r>
            <w:proofErr w:type="spellEnd"/>
            <w:r w:rsidR="003A4C5F">
              <w:rPr>
                <w:bCs/>
                <w:sz w:val="21"/>
                <w:szCs w:val="21"/>
              </w:rPr>
              <w:t xml:space="preserve"> per testare la proliferazione in presenza o meno del gene di fusione.</w:t>
            </w:r>
          </w:p>
          <w:p w14:paraId="0ABD0EAA" w14:textId="77777777" w:rsidR="008F7FAD" w:rsidRPr="003A4C5F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</w:p>
          <w:p w14:paraId="11E83646" w14:textId="77777777" w:rsidR="008F7FAD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Risultati attesi</w:t>
            </w:r>
          </w:p>
          <w:p w14:paraId="1476DCD8" w14:textId="4C2CB304" w:rsidR="001D30C4" w:rsidRPr="008D5F93" w:rsidRDefault="003A4C5F" w:rsidP="008D5F93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Lo studio si propone di caratterizzare l’effetto del gene di fusione </w:t>
            </w:r>
            <w:r w:rsidR="00941C6D">
              <w:rPr>
                <w:sz w:val="22"/>
                <w:szCs w:val="22"/>
              </w:rPr>
              <w:t>MLL-AF9</w:t>
            </w:r>
            <w:r w:rsidR="002538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nelle diverse fasi dello sviluppo ematopoietico</w:t>
            </w:r>
            <w:r w:rsidR="002538AA">
              <w:rPr>
                <w:sz w:val="22"/>
                <w:szCs w:val="22"/>
              </w:rPr>
              <w:t>, e nelle diverse vie, riuscendo a identificare la sottopopolazione di progenitori responsabili della trasformazione verso non-DS-AMKL. La generazione di un modello permetterà in seguito di identificare nuovi possibili target terapeutici, necessari per questo sottogruppo di pazienti la cui prognosi rimane ad ora infausta</w:t>
            </w:r>
            <w:r w:rsidR="008D5F93">
              <w:rPr>
                <w:sz w:val="22"/>
                <w:szCs w:val="22"/>
              </w:rPr>
              <w:t xml:space="preserve"> e la cui risposta alle terapie convenzionali è scarsa.</w:t>
            </w:r>
          </w:p>
        </w:tc>
      </w:tr>
      <w:tr w:rsidR="008F7FAD" w:rsidRPr="002E1FF5" w14:paraId="7F2559A1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241F38B2" w14:textId="77777777" w:rsidR="008F7FAD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DESCRIZIONE</w:t>
            </w:r>
            <w:r w:rsidRPr="007A1E3A">
              <w:rPr>
                <w:b/>
                <w:sz w:val="28"/>
                <w:szCs w:val="28"/>
              </w:rPr>
              <w:t xml:space="preserve"> DELLE ATTIVITÀ DELL’ASSEGNISTA</w:t>
            </w:r>
          </w:p>
          <w:p w14:paraId="5CCECBD8" w14:textId="77777777" w:rsidR="008F7FAD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nuovi</w:t>
            </w:r>
            <w:r>
              <w:rPr>
                <w:i/>
                <w:sz w:val="20"/>
                <w:szCs w:val="20"/>
              </w:rPr>
              <w:t xml:space="preserve"> assegni: max 400</w:t>
            </w:r>
            <w:r w:rsidRPr="00F70053">
              <w:rPr>
                <w:i/>
                <w:sz w:val="20"/>
                <w:szCs w:val="20"/>
              </w:rPr>
              <w:t xml:space="preserve"> parole</w:t>
            </w:r>
            <w:r>
              <w:rPr>
                <w:i/>
                <w:sz w:val="20"/>
                <w:szCs w:val="20"/>
              </w:rPr>
              <w:t xml:space="preserve">; competenze richieste, </w:t>
            </w:r>
            <w:r w:rsidRPr="004B08A3">
              <w:rPr>
                <w:i/>
                <w:sz w:val="20"/>
                <w:szCs w:val="20"/>
              </w:rPr>
              <w:t>scans</w:t>
            </w:r>
            <w:r>
              <w:rPr>
                <w:i/>
                <w:sz w:val="20"/>
                <w:szCs w:val="20"/>
              </w:rPr>
              <w:t xml:space="preserve">ione temporale della formazione, </w:t>
            </w:r>
            <w:r w:rsidRPr="004B08A3">
              <w:rPr>
                <w:i/>
                <w:sz w:val="20"/>
                <w:szCs w:val="20"/>
              </w:rPr>
              <w:t>scansione temporale dell’attivi</w:t>
            </w:r>
            <w:r>
              <w:rPr>
                <w:i/>
                <w:sz w:val="20"/>
                <w:szCs w:val="20"/>
              </w:rPr>
              <w:t xml:space="preserve">tà, </w:t>
            </w:r>
            <w:r w:rsidRPr="004B08A3">
              <w:rPr>
                <w:i/>
                <w:sz w:val="20"/>
                <w:szCs w:val="20"/>
              </w:rPr>
              <w:t>obiettivi primari e secondari</w:t>
            </w:r>
            <w:r w:rsidRPr="00F70053">
              <w:rPr>
                <w:i/>
                <w:sz w:val="20"/>
                <w:szCs w:val="20"/>
              </w:rPr>
              <w:t>)</w:t>
            </w:r>
          </w:p>
          <w:p w14:paraId="046F0CBE" w14:textId="77777777" w:rsidR="008F7FAD" w:rsidRPr="00DB1934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rinnovi</w:t>
            </w:r>
            <w:r>
              <w:rPr>
                <w:i/>
                <w:sz w:val="20"/>
                <w:szCs w:val="20"/>
              </w:rPr>
              <w:t xml:space="preserve">: max 600 parole – da integrare con la relazione dell’assegnista; formazione raggiunta, attività effettuata, </w:t>
            </w:r>
            <w:r w:rsidRPr="004B08A3">
              <w:rPr>
                <w:i/>
                <w:sz w:val="20"/>
                <w:szCs w:val="20"/>
              </w:rPr>
              <w:t xml:space="preserve">obiettivi </w:t>
            </w:r>
            <w:r>
              <w:rPr>
                <w:i/>
                <w:sz w:val="20"/>
                <w:szCs w:val="20"/>
              </w:rPr>
              <w:t xml:space="preserve">raggiunti/competenze acquisite, </w:t>
            </w:r>
            <w:r w:rsidRPr="004B08A3">
              <w:rPr>
                <w:i/>
                <w:sz w:val="20"/>
                <w:szCs w:val="20"/>
              </w:rPr>
              <w:t>formazione anco</w:t>
            </w:r>
            <w:r>
              <w:rPr>
                <w:i/>
                <w:sz w:val="20"/>
                <w:szCs w:val="20"/>
              </w:rPr>
              <w:t xml:space="preserve">ra da acquisire (se pertinente), </w:t>
            </w:r>
            <w:r w:rsidRPr="004B08A3">
              <w:rPr>
                <w:i/>
                <w:sz w:val="20"/>
                <w:szCs w:val="20"/>
              </w:rPr>
              <w:t>scansione temporale dell’attività durante il rinnovo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33487E63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3BA108E0" w14:textId="77777777" w:rsidTr="00945AFC">
        <w:trPr>
          <w:trHeight w:val="3090"/>
        </w:trPr>
        <w:tc>
          <w:tcPr>
            <w:tcW w:w="9854" w:type="dxa"/>
            <w:gridSpan w:val="6"/>
            <w:shd w:val="clear" w:color="auto" w:fill="auto"/>
          </w:tcPr>
          <w:p w14:paraId="56EC6222" w14:textId="77777777" w:rsidR="00594278" w:rsidRPr="00594278" w:rsidRDefault="00594278" w:rsidP="00594278">
            <w:pPr>
              <w:pStyle w:val="NormaleWeb"/>
              <w:spacing w:before="0" w:after="120"/>
              <w:rPr>
                <w:color w:val="000000" w:themeColor="text1"/>
                <w:sz w:val="21"/>
                <w:szCs w:val="21"/>
              </w:rPr>
            </w:pPr>
            <w:r w:rsidRPr="00594278">
              <w:rPr>
                <w:color w:val="000000" w:themeColor="text1"/>
                <w:sz w:val="21"/>
                <w:szCs w:val="21"/>
              </w:rPr>
              <w:t>Le attività del titolare dell’assegno saranno svolte nel laboratorio di oncologia ed ematologia pediatrica.</w:t>
            </w:r>
          </w:p>
          <w:p w14:paraId="457D9AE0" w14:textId="77777777" w:rsidR="00594278" w:rsidRPr="00594278" w:rsidRDefault="00594278" w:rsidP="00594278">
            <w:pPr>
              <w:pStyle w:val="NormaleWeb"/>
              <w:spacing w:before="0" w:after="120"/>
              <w:rPr>
                <w:color w:val="000000" w:themeColor="text1"/>
                <w:sz w:val="21"/>
                <w:szCs w:val="21"/>
              </w:rPr>
            </w:pPr>
            <w:r w:rsidRPr="00594278">
              <w:rPr>
                <w:color w:val="000000" w:themeColor="text1"/>
                <w:sz w:val="21"/>
                <w:szCs w:val="21"/>
              </w:rPr>
              <w:t xml:space="preserve">Competenze richieste: </w:t>
            </w:r>
            <w:r w:rsidRPr="00594278">
              <w:rPr>
                <w:rFonts w:hint="eastAsia"/>
                <w:color w:val="000000" w:themeColor="text1"/>
                <w:sz w:val="21"/>
                <w:szCs w:val="21"/>
              </w:rPr>
              <w:t>comprovata esperienza nella coltivazione, generazione e manipolazione di cellule staminali pluripotenti indotte (</w:t>
            </w:r>
            <w:proofErr w:type="spellStart"/>
            <w:r w:rsidRPr="00594278">
              <w:rPr>
                <w:rFonts w:hint="eastAsia"/>
                <w:color w:val="000000" w:themeColor="text1"/>
                <w:sz w:val="21"/>
                <w:szCs w:val="21"/>
              </w:rPr>
              <w:t>iPSC</w:t>
            </w:r>
            <w:proofErr w:type="spellEnd"/>
            <w:r w:rsidRPr="00594278">
              <w:rPr>
                <w:rFonts w:hint="eastAsia"/>
                <w:color w:val="000000" w:themeColor="text1"/>
                <w:sz w:val="21"/>
                <w:szCs w:val="21"/>
              </w:rPr>
              <w:t xml:space="preserve">) e nell’induzione del loro differenziamento nel </w:t>
            </w:r>
            <w:proofErr w:type="spellStart"/>
            <w:r w:rsidRPr="00594278">
              <w:rPr>
                <w:rFonts w:hint="eastAsia"/>
                <w:i/>
                <w:iCs/>
                <w:color w:val="000000" w:themeColor="text1"/>
                <w:sz w:val="21"/>
                <w:szCs w:val="21"/>
              </w:rPr>
              <w:t>lineage</w:t>
            </w:r>
            <w:proofErr w:type="spellEnd"/>
            <w:r w:rsidRPr="00594278">
              <w:rPr>
                <w:rFonts w:hint="eastAsia"/>
                <w:color w:val="000000" w:themeColor="text1"/>
                <w:sz w:val="21"/>
                <w:szCs w:val="21"/>
              </w:rPr>
              <w:t xml:space="preserve"> ematopoietico, come modello cellulare per lo studio delle leucemie mieloidi acute; esperienza in tecniche di </w:t>
            </w:r>
            <w:proofErr w:type="spellStart"/>
            <w:r w:rsidRPr="00594278">
              <w:rPr>
                <w:rFonts w:hint="eastAsia"/>
                <w:i/>
                <w:iCs/>
                <w:color w:val="000000" w:themeColor="text1"/>
                <w:sz w:val="21"/>
                <w:szCs w:val="21"/>
              </w:rPr>
              <w:t>genome</w:t>
            </w:r>
            <w:proofErr w:type="spellEnd"/>
            <w:r w:rsidRPr="00594278">
              <w:rPr>
                <w:rFonts w:hint="eastAsia"/>
                <w:i/>
                <w:iCs/>
                <w:color w:val="000000" w:themeColor="text1"/>
                <w:sz w:val="21"/>
                <w:szCs w:val="21"/>
              </w:rPr>
              <w:t xml:space="preserve"> editing</w:t>
            </w:r>
            <w:r w:rsidRPr="00594278">
              <w:rPr>
                <w:rFonts w:hint="eastAsia"/>
                <w:color w:val="000000" w:themeColor="text1"/>
                <w:sz w:val="21"/>
                <w:szCs w:val="21"/>
              </w:rPr>
              <w:t xml:space="preserve">; esperienza in studi di biologia cellulare, in particolare in tecniche di clonaggio, e di biologia molecolare; capacità di condurre in modo autonomo studi di ricerca in laboratorio nel campo delle malattie </w:t>
            </w:r>
            <w:proofErr w:type="spellStart"/>
            <w:r w:rsidRPr="00594278">
              <w:rPr>
                <w:rFonts w:hint="eastAsia"/>
                <w:color w:val="000000" w:themeColor="text1"/>
                <w:sz w:val="21"/>
                <w:szCs w:val="21"/>
              </w:rPr>
              <w:t>oncoematologiche</w:t>
            </w:r>
            <w:proofErr w:type="spellEnd"/>
            <w:r w:rsidR="00811E08">
              <w:rPr>
                <w:color w:val="000000" w:themeColor="text1"/>
                <w:sz w:val="21"/>
                <w:szCs w:val="21"/>
              </w:rPr>
              <w:t xml:space="preserve">. </w:t>
            </w:r>
          </w:p>
          <w:p w14:paraId="7EAB6C1F" w14:textId="77777777" w:rsidR="00594278" w:rsidRPr="00594278" w:rsidRDefault="00594278" w:rsidP="00594278">
            <w:pPr>
              <w:pStyle w:val="NormaleWeb"/>
              <w:spacing w:before="0" w:after="120"/>
              <w:rPr>
                <w:color w:val="000000" w:themeColor="text1"/>
                <w:sz w:val="21"/>
                <w:szCs w:val="21"/>
              </w:rPr>
            </w:pPr>
            <w:r w:rsidRPr="00594278">
              <w:rPr>
                <w:color w:val="000000" w:themeColor="text1"/>
                <w:sz w:val="21"/>
                <w:szCs w:val="21"/>
              </w:rPr>
              <w:t xml:space="preserve">Il piano delle attività prevede: </w:t>
            </w:r>
          </w:p>
          <w:p w14:paraId="115FDEEB" w14:textId="77777777" w:rsidR="00811E08" w:rsidRDefault="00811E08" w:rsidP="00594278">
            <w:pPr>
              <w:pStyle w:val="NormaleWeb"/>
              <w:numPr>
                <w:ilvl w:val="0"/>
                <w:numId w:val="13"/>
              </w:numPr>
              <w:spacing w:before="0" w:after="12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Produzione vettori virali per successiva manipolazione in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iPSC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;</w:t>
            </w:r>
          </w:p>
          <w:p w14:paraId="25F7A860" w14:textId="213D0C5B" w:rsidR="00811E08" w:rsidRDefault="00160BD6" w:rsidP="00594278">
            <w:pPr>
              <w:pStyle w:val="NormaleWeb"/>
              <w:numPr>
                <w:ilvl w:val="0"/>
                <w:numId w:val="13"/>
              </w:numPr>
              <w:spacing w:before="0" w:after="120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i/>
                <w:color w:val="000000" w:themeColor="text1"/>
                <w:sz w:val="21"/>
                <w:szCs w:val="21"/>
              </w:rPr>
              <w:t>Genome</w:t>
            </w:r>
            <w:proofErr w:type="spellEnd"/>
            <w:r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  <w:r w:rsidR="00811E08" w:rsidRPr="00160BD6">
              <w:rPr>
                <w:i/>
                <w:color w:val="000000" w:themeColor="text1"/>
                <w:sz w:val="21"/>
                <w:szCs w:val="21"/>
              </w:rPr>
              <w:t>Editing</w:t>
            </w:r>
            <w:r w:rsidR="00811E08">
              <w:rPr>
                <w:color w:val="000000" w:themeColor="text1"/>
                <w:sz w:val="21"/>
                <w:szCs w:val="21"/>
              </w:rPr>
              <w:t xml:space="preserve"> di </w:t>
            </w:r>
            <w:proofErr w:type="spellStart"/>
            <w:r w:rsidR="00811E08">
              <w:rPr>
                <w:color w:val="000000" w:themeColor="text1"/>
                <w:sz w:val="21"/>
                <w:szCs w:val="21"/>
              </w:rPr>
              <w:t>iPSC</w:t>
            </w:r>
            <w:proofErr w:type="spellEnd"/>
            <w:r w:rsidR="00811E08">
              <w:rPr>
                <w:color w:val="000000" w:themeColor="text1"/>
                <w:sz w:val="21"/>
                <w:szCs w:val="21"/>
              </w:rPr>
              <w:t xml:space="preserve"> per esprimere il gene di fusione </w:t>
            </w:r>
            <w:r w:rsidR="00941C6D">
              <w:rPr>
                <w:color w:val="000000" w:themeColor="text1"/>
                <w:sz w:val="21"/>
                <w:szCs w:val="21"/>
              </w:rPr>
              <w:t>MLL-AF9</w:t>
            </w:r>
            <w:r w:rsidR="00811E08">
              <w:rPr>
                <w:color w:val="000000" w:themeColor="text1"/>
                <w:sz w:val="21"/>
                <w:szCs w:val="21"/>
              </w:rPr>
              <w:t>;</w:t>
            </w:r>
          </w:p>
          <w:p w14:paraId="29033DE6" w14:textId="77777777" w:rsidR="00811E08" w:rsidRDefault="00811E08" w:rsidP="00594278">
            <w:pPr>
              <w:pStyle w:val="NormaleWeb"/>
              <w:numPr>
                <w:ilvl w:val="0"/>
                <w:numId w:val="13"/>
              </w:numPr>
              <w:spacing w:before="0" w:after="12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Differenziamento ematopoietico nelle diverse vie;</w:t>
            </w:r>
          </w:p>
          <w:p w14:paraId="7C6A5DEB" w14:textId="77777777" w:rsidR="00594278" w:rsidRPr="00594278" w:rsidRDefault="00594278" w:rsidP="00594278">
            <w:pPr>
              <w:pStyle w:val="NormaleWeb"/>
              <w:numPr>
                <w:ilvl w:val="0"/>
                <w:numId w:val="13"/>
              </w:numPr>
              <w:spacing w:before="0" w:after="120"/>
              <w:rPr>
                <w:color w:val="000000" w:themeColor="text1"/>
                <w:sz w:val="21"/>
                <w:szCs w:val="21"/>
              </w:rPr>
            </w:pPr>
            <w:r w:rsidRPr="00594278">
              <w:rPr>
                <w:color w:val="000000" w:themeColor="text1"/>
                <w:sz w:val="21"/>
                <w:szCs w:val="21"/>
              </w:rPr>
              <w:t xml:space="preserve">Caratterizzazione </w:t>
            </w:r>
            <w:proofErr w:type="spellStart"/>
            <w:r w:rsidRPr="00594278">
              <w:rPr>
                <w:color w:val="000000" w:themeColor="text1"/>
                <w:sz w:val="21"/>
                <w:szCs w:val="21"/>
              </w:rPr>
              <w:t>immunofenotipica</w:t>
            </w:r>
            <w:proofErr w:type="spellEnd"/>
            <w:r w:rsidRPr="00594278">
              <w:rPr>
                <w:color w:val="000000" w:themeColor="text1"/>
                <w:sz w:val="21"/>
                <w:szCs w:val="21"/>
              </w:rPr>
              <w:t xml:space="preserve"> delle cellule ematopoietiche derivate da </w:t>
            </w:r>
            <w:proofErr w:type="spellStart"/>
            <w:r w:rsidRPr="00594278">
              <w:rPr>
                <w:color w:val="000000" w:themeColor="text1"/>
                <w:sz w:val="21"/>
                <w:szCs w:val="21"/>
              </w:rPr>
              <w:t>iPSC</w:t>
            </w:r>
            <w:proofErr w:type="spellEnd"/>
            <w:r w:rsidR="00811E08">
              <w:rPr>
                <w:color w:val="000000" w:themeColor="text1"/>
                <w:sz w:val="21"/>
                <w:szCs w:val="21"/>
              </w:rPr>
              <w:t>;</w:t>
            </w:r>
          </w:p>
          <w:p w14:paraId="17A1F783" w14:textId="77777777" w:rsidR="008F7FAD" w:rsidRPr="00811E08" w:rsidRDefault="00594278" w:rsidP="00811E08">
            <w:pPr>
              <w:pStyle w:val="NormaleWeb"/>
              <w:numPr>
                <w:ilvl w:val="0"/>
                <w:numId w:val="13"/>
              </w:numPr>
              <w:spacing w:before="0" w:after="120"/>
              <w:rPr>
                <w:color w:val="000000" w:themeColor="text1"/>
                <w:sz w:val="21"/>
                <w:szCs w:val="21"/>
              </w:rPr>
            </w:pPr>
            <w:r w:rsidRPr="00594278">
              <w:rPr>
                <w:color w:val="000000" w:themeColor="text1"/>
                <w:sz w:val="21"/>
                <w:szCs w:val="21"/>
              </w:rPr>
              <w:t>Analisi statistiche e interpretazione dei dati raccolti</w:t>
            </w:r>
            <w:r w:rsidR="00EB6613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BDE3A44" w14:textId="77777777" w:rsidR="008F7FAD" w:rsidRDefault="008F7FAD" w:rsidP="008F7FAD">
      <w:pPr>
        <w:jc w:val="both"/>
        <w:rPr>
          <w:color w:val="FF0000"/>
        </w:rPr>
      </w:pPr>
      <w:r>
        <w:rPr>
          <w:color w:val="FF0000"/>
        </w:rPr>
        <w:t>SE RINNOVO, SI RICORDA DI ALLEGARE ANCHE LA RELAZIONE DELL’ASSEGNISTA</w:t>
      </w:r>
      <w:r w:rsidR="00052630">
        <w:rPr>
          <w:color w:val="FF0000"/>
        </w:rPr>
        <w:t xml:space="preserve"> CON LA SUA PRODUZIONE SCIENTIFICA</w:t>
      </w:r>
      <w:r>
        <w:rPr>
          <w:color w:val="FF0000"/>
        </w:rPr>
        <w:t>.</w:t>
      </w:r>
    </w:p>
    <w:p w14:paraId="076E01B9" w14:textId="77777777" w:rsidR="008F7FAD" w:rsidRPr="00935A0A" w:rsidRDefault="008F7FAD" w:rsidP="008F7FAD">
      <w:pPr>
        <w:rPr>
          <w:color w:val="FF0000"/>
          <w:sz w:val="18"/>
        </w:rPr>
      </w:pPr>
    </w:p>
    <w:p w14:paraId="2244C078" w14:textId="77777777" w:rsidR="008F7FAD" w:rsidRPr="005918FB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Scheda attività assistenziale (se prevista)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03B8" w:rsidRPr="00E603B8" w14:paraId="6F7939B9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8027" w14:textId="77777777" w:rsidR="00341677" w:rsidRPr="00E603B8" w:rsidRDefault="00341677" w:rsidP="00D90C0A">
            <w:pPr>
              <w:spacing w:before="60" w:after="60"/>
              <w:jc w:val="both"/>
              <w:rPr>
                <w:b/>
                <w:color w:val="FF0000"/>
              </w:rPr>
            </w:pPr>
            <w:r w:rsidRPr="00E603B8">
              <w:rPr>
                <w:b/>
                <w:color w:val="FF0000"/>
              </w:rPr>
              <w:t>ATTIVITÀ ASSISTENZIALI DELL’ASSEGNISTA/ N. ORE SETTIMANA</w:t>
            </w:r>
          </w:p>
        </w:tc>
      </w:tr>
      <w:tr w:rsidR="00E603B8" w:rsidRPr="00E603B8" w14:paraId="0DBAE543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B15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6FA2013A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A65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264EB1DF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46C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1128F0CC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7B4C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E603B8">
              <w:rPr>
                <w:color w:val="FF0000"/>
              </w:rPr>
              <w:t>AZIENDA SANITARIA PRESSO CUI SI SVOLGERÀ L’ATTIVITÀ</w:t>
            </w:r>
          </w:p>
        </w:tc>
      </w:tr>
      <w:tr w:rsidR="00341677" w14:paraId="2A4817D4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1F2" w14:textId="77777777" w:rsidR="00341677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</w:p>
        </w:tc>
      </w:tr>
    </w:tbl>
    <w:p w14:paraId="2AC6DD9C" w14:textId="77777777" w:rsidR="008F7FAD" w:rsidRDefault="008F7FAD" w:rsidP="008F7FAD">
      <w:pPr>
        <w:jc w:val="both"/>
      </w:pPr>
      <w:r w:rsidRPr="00946994">
        <w:t xml:space="preserve">Si ricorda che, come previsto dagli Accordi sull’impiego nell’attività assistenziale dei Titolari di assegni di ricerca, sottoscritti tra l’Università di Bologna e le Aziende Ospedaliere di riferimento, una volta stipulato il contratto con il vincitore della selezione, </w:t>
      </w:r>
      <w:r w:rsidRPr="00460601">
        <w:t>il tutor deve</w:t>
      </w:r>
      <w:r w:rsidRPr="00946994">
        <w:t xml:space="preserve"> consegnare alla Direzione Medica Ospedaliera la relativa modulistica, nella quale andranno riportate le attività qui segnalate.</w:t>
      </w:r>
    </w:p>
    <w:p w14:paraId="2A3068FD" w14:textId="77777777" w:rsidR="00984211" w:rsidRDefault="00984211" w:rsidP="008F7FAD">
      <w:pPr>
        <w:jc w:val="both"/>
      </w:pPr>
    </w:p>
    <w:p w14:paraId="1E38780C" w14:textId="77777777" w:rsidR="00984211" w:rsidRDefault="00984211" w:rsidP="008F7FAD">
      <w:pPr>
        <w:jc w:val="both"/>
      </w:pPr>
    </w:p>
    <w:p w14:paraId="7762186E" w14:textId="77777777" w:rsidR="00984211" w:rsidRPr="00C757B5" w:rsidRDefault="00984211" w:rsidP="008F7FAD">
      <w:pPr>
        <w:jc w:val="both"/>
        <w:rPr>
          <w:rFonts w:ascii="Trajan" w:hAnsi="Trajan"/>
        </w:rPr>
      </w:pPr>
    </w:p>
    <w:sectPr w:rsidR="00984211" w:rsidRPr="00C757B5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45CF" w14:textId="77777777" w:rsidR="00B6670C" w:rsidRDefault="00B6670C">
      <w:r>
        <w:separator/>
      </w:r>
    </w:p>
  </w:endnote>
  <w:endnote w:type="continuationSeparator" w:id="0">
    <w:p w14:paraId="033A4648" w14:textId="77777777" w:rsidR="00B6670C" w:rsidRDefault="00B6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EAD8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36C13F67" w14:textId="77777777" w:rsidR="005771B8" w:rsidRDefault="005771B8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</w:t>
    </w:r>
    <w:r w:rsidR="00AD57B7">
      <w:rPr>
        <w:rFonts w:ascii="Garamond" w:hAnsi="Garamond"/>
        <w:caps/>
        <w:sz w:val="16"/>
        <w:szCs w:val="16"/>
      </w:rPr>
      <w:t>TRATIVA C/O AZIENDA OSPEDALIERO-</w:t>
    </w:r>
    <w:r>
      <w:rPr>
        <w:rFonts w:ascii="Garamond" w:hAnsi="Garamond"/>
        <w:caps/>
        <w:sz w:val="16"/>
        <w:szCs w:val="16"/>
      </w:rPr>
      <w:t>UNIVERSITARIA – POLICLINICO S. ORSOLA–MALPIGHI</w:t>
    </w:r>
  </w:p>
  <w:p w14:paraId="2EAA31A7" w14:textId="77777777" w:rsidR="00BE1C84" w:rsidRPr="00CB5C37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 w:rsidR="005771B8">
      <w:rPr>
        <w:rFonts w:ascii="Garamond" w:hAnsi="Garamond"/>
        <w:caps/>
        <w:sz w:val="16"/>
        <w:szCs w:val="16"/>
      </w:rPr>
      <w:t>MASSARENTI 9, PADIGLIONE 11</w:t>
    </w:r>
    <w:r w:rsidR="001D5749">
      <w:rPr>
        <w:rFonts w:ascii="Garamond" w:hAnsi="Garamond"/>
        <w:caps/>
        <w:sz w:val="16"/>
        <w:szCs w:val="16"/>
      </w:rPr>
      <w:t xml:space="preserve">- </w:t>
    </w:r>
    <w:r w:rsidR="001D5749" w:rsidRPr="008A26FE">
      <w:rPr>
        <w:rFonts w:ascii="Garamond" w:hAnsi="Garamond"/>
        <w:caps/>
        <w:sz w:val="16"/>
        <w:szCs w:val="16"/>
      </w:rPr>
      <w:t>401</w:t>
    </w:r>
    <w:r w:rsidR="001D5749">
      <w:rPr>
        <w:rFonts w:ascii="Garamond" w:hAnsi="Garamond"/>
        <w:caps/>
        <w:sz w:val="16"/>
        <w:szCs w:val="16"/>
      </w:rPr>
      <w:t xml:space="preserve">38 Bologna - Italia </w:t>
    </w:r>
    <w:r w:rsidR="00C05A72">
      <w:rPr>
        <w:rFonts w:ascii="Garamond" w:hAnsi="Garamond"/>
        <w:caps/>
        <w:sz w:val="16"/>
        <w:szCs w:val="16"/>
      </w:rPr>
      <w:t>–</w:t>
    </w:r>
    <w:hyperlink r:id="rId1" w:history="1">
      <w:r w:rsidR="00C05A72" w:rsidRPr="0017512C">
        <w:rPr>
          <w:rStyle w:val="Collegamentoipertestuale"/>
          <w:rFonts w:ascii="Garamond" w:hAnsi="Garamond"/>
          <w:sz w:val="20"/>
          <w:szCs w:val="20"/>
        </w:rPr>
        <w:t>dimec.dipartimento@pec.unibo.it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B5D7" w14:textId="77777777" w:rsidR="00B6670C" w:rsidRDefault="00B6670C">
      <w:r>
        <w:separator/>
      </w:r>
    </w:p>
  </w:footnote>
  <w:footnote w:type="continuationSeparator" w:id="0">
    <w:p w14:paraId="21FBE115" w14:textId="77777777" w:rsidR="00B6670C" w:rsidRDefault="00B6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C5D0" w14:textId="77777777" w:rsidR="00BE1C84" w:rsidRDefault="0056632E" w:rsidP="002A0F0A">
    <w:pPr>
      <w:pStyle w:val="Intestazione"/>
      <w:jc w:val="center"/>
    </w:pPr>
    <w:r>
      <w:rPr>
        <w:noProof/>
      </w:rPr>
      <w:drawing>
        <wp:inline distT="0" distB="0" distL="0" distR="0" wp14:anchorId="31F0377D" wp14:editId="678D9125">
          <wp:extent cx="405765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7DC"/>
    <w:multiLevelType w:val="singleLevel"/>
    <w:tmpl w:val="EB5228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163CB"/>
    <w:multiLevelType w:val="hybridMultilevel"/>
    <w:tmpl w:val="8416BFD0"/>
    <w:lvl w:ilvl="0" w:tplc="2B38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4601A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D8511B"/>
    <w:multiLevelType w:val="hybridMultilevel"/>
    <w:tmpl w:val="50680440"/>
    <w:lvl w:ilvl="0" w:tplc="6E6CB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863"/>
    <w:multiLevelType w:val="multilevel"/>
    <w:tmpl w:val="78BE9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649CE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C14CF1"/>
    <w:multiLevelType w:val="hybridMultilevel"/>
    <w:tmpl w:val="0068F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C6730"/>
    <w:multiLevelType w:val="hybridMultilevel"/>
    <w:tmpl w:val="887EAD4E"/>
    <w:lvl w:ilvl="0" w:tplc="A13CF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BB2058"/>
    <w:multiLevelType w:val="hybridMultilevel"/>
    <w:tmpl w:val="E8F0D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92921"/>
    <w:multiLevelType w:val="hybridMultilevel"/>
    <w:tmpl w:val="354AB89A"/>
    <w:lvl w:ilvl="0" w:tplc="03C84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73A9F"/>
    <w:multiLevelType w:val="hybridMultilevel"/>
    <w:tmpl w:val="CECE3EAC"/>
    <w:lvl w:ilvl="0" w:tplc="228A8898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7F74DA"/>
    <w:multiLevelType w:val="hybridMultilevel"/>
    <w:tmpl w:val="57F488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630"/>
    <w:rsid w:val="0005379F"/>
    <w:rsid w:val="00054F9D"/>
    <w:rsid w:val="00056F8C"/>
    <w:rsid w:val="0005744F"/>
    <w:rsid w:val="00060F13"/>
    <w:rsid w:val="0006159F"/>
    <w:rsid w:val="000627C5"/>
    <w:rsid w:val="00062CD8"/>
    <w:rsid w:val="000638A4"/>
    <w:rsid w:val="00063CCE"/>
    <w:rsid w:val="0006451B"/>
    <w:rsid w:val="000649E3"/>
    <w:rsid w:val="00065195"/>
    <w:rsid w:val="00065DE4"/>
    <w:rsid w:val="00067DC5"/>
    <w:rsid w:val="00070B79"/>
    <w:rsid w:val="00071338"/>
    <w:rsid w:val="00072AEC"/>
    <w:rsid w:val="00072B7E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DAB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CCB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A04"/>
    <w:rsid w:val="001250DC"/>
    <w:rsid w:val="00126819"/>
    <w:rsid w:val="00126A5B"/>
    <w:rsid w:val="00130867"/>
    <w:rsid w:val="0013129B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0BD6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30C4"/>
    <w:rsid w:val="001D4107"/>
    <w:rsid w:val="001D4403"/>
    <w:rsid w:val="001D448F"/>
    <w:rsid w:val="001D460A"/>
    <w:rsid w:val="001D46CD"/>
    <w:rsid w:val="001D4AE7"/>
    <w:rsid w:val="001D5749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3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BC9"/>
    <w:rsid w:val="001F4D71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295"/>
    <w:rsid w:val="002475AE"/>
    <w:rsid w:val="002508AD"/>
    <w:rsid w:val="00250BAF"/>
    <w:rsid w:val="00251557"/>
    <w:rsid w:val="00251C64"/>
    <w:rsid w:val="00252154"/>
    <w:rsid w:val="00252561"/>
    <w:rsid w:val="0025356C"/>
    <w:rsid w:val="002538AA"/>
    <w:rsid w:val="00254702"/>
    <w:rsid w:val="002547AF"/>
    <w:rsid w:val="00254E0F"/>
    <w:rsid w:val="00256605"/>
    <w:rsid w:val="00256940"/>
    <w:rsid w:val="00256CE1"/>
    <w:rsid w:val="00257971"/>
    <w:rsid w:val="00260D76"/>
    <w:rsid w:val="00261546"/>
    <w:rsid w:val="00261956"/>
    <w:rsid w:val="00263B5D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13F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28A"/>
    <w:rsid w:val="0029432D"/>
    <w:rsid w:val="0029492B"/>
    <w:rsid w:val="00294A95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A7F88"/>
    <w:rsid w:val="002B0DB8"/>
    <w:rsid w:val="002B1CB9"/>
    <w:rsid w:val="002B2784"/>
    <w:rsid w:val="002B2E7B"/>
    <w:rsid w:val="002B3409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FA4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540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153"/>
    <w:rsid w:val="002F3E6D"/>
    <w:rsid w:val="002F5C4C"/>
    <w:rsid w:val="002F6720"/>
    <w:rsid w:val="002F68AB"/>
    <w:rsid w:val="002F6DD5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020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1677"/>
    <w:rsid w:val="00342D06"/>
    <w:rsid w:val="00343A82"/>
    <w:rsid w:val="003444BB"/>
    <w:rsid w:val="00344619"/>
    <w:rsid w:val="00344AD0"/>
    <w:rsid w:val="00345C82"/>
    <w:rsid w:val="00345DF7"/>
    <w:rsid w:val="00345E12"/>
    <w:rsid w:val="0034693D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A34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5F"/>
    <w:rsid w:val="003A4CDC"/>
    <w:rsid w:val="003A5E63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BF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2B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0601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52F"/>
    <w:rsid w:val="00484ED9"/>
    <w:rsid w:val="00484FF2"/>
    <w:rsid w:val="004868FB"/>
    <w:rsid w:val="00486C74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5CCA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48E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92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027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43C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DD8"/>
    <w:rsid w:val="00542F47"/>
    <w:rsid w:val="005435B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32E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278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0880"/>
    <w:rsid w:val="005C15A3"/>
    <w:rsid w:val="005C230E"/>
    <w:rsid w:val="005C275A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E1A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54F9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691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541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09C7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EE1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AC"/>
    <w:rsid w:val="006B0841"/>
    <w:rsid w:val="006B0A14"/>
    <w:rsid w:val="006B16A2"/>
    <w:rsid w:val="006B2137"/>
    <w:rsid w:val="006B3D30"/>
    <w:rsid w:val="006B4797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B7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32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279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08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719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E99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33A9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3D0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1E08"/>
    <w:rsid w:val="008127AE"/>
    <w:rsid w:val="0081289A"/>
    <w:rsid w:val="00812CB1"/>
    <w:rsid w:val="00812D77"/>
    <w:rsid w:val="00813200"/>
    <w:rsid w:val="00813AE9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549"/>
    <w:rsid w:val="00826EE9"/>
    <w:rsid w:val="0082780F"/>
    <w:rsid w:val="00830E77"/>
    <w:rsid w:val="00831777"/>
    <w:rsid w:val="008327D4"/>
    <w:rsid w:val="00832C7B"/>
    <w:rsid w:val="00832D24"/>
    <w:rsid w:val="008334B8"/>
    <w:rsid w:val="008335CA"/>
    <w:rsid w:val="0083548E"/>
    <w:rsid w:val="0083559D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28C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98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5F93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795B"/>
    <w:rsid w:val="008F7FAD"/>
    <w:rsid w:val="00900339"/>
    <w:rsid w:val="00900959"/>
    <w:rsid w:val="00901323"/>
    <w:rsid w:val="009017EC"/>
    <w:rsid w:val="00901D60"/>
    <w:rsid w:val="00901E79"/>
    <w:rsid w:val="0090260F"/>
    <w:rsid w:val="00902B83"/>
    <w:rsid w:val="00903454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01"/>
    <w:rsid w:val="009112D7"/>
    <w:rsid w:val="009119B9"/>
    <w:rsid w:val="009121EC"/>
    <w:rsid w:val="00912A88"/>
    <w:rsid w:val="0091390A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90B"/>
    <w:rsid w:val="00923DFD"/>
    <w:rsid w:val="00927D53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C28"/>
    <w:rsid w:val="00941AAB"/>
    <w:rsid w:val="00941AB8"/>
    <w:rsid w:val="00941C6D"/>
    <w:rsid w:val="00942A92"/>
    <w:rsid w:val="009433E4"/>
    <w:rsid w:val="0094349B"/>
    <w:rsid w:val="00944C33"/>
    <w:rsid w:val="00945AFC"/>
    <w:rsid w:val="0094618D"/>
    <w:rsid w:val="0094649C"/>
    <w:rsid w:val="00946A45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611"/>
    <w:rsid w:val="00966D4A"/>
    <w:rsid w:val="0097002B"/>
    <w:rsid w:val="009703CA"/>
    <w:rsid w:val="00971C1C"/>
    <w:rsid w:val="00971E87"/>
    <w:rsid w:val="00973D79"/>
    <w:rsid w:val="0097487D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11"/>
    <w:rsid w:val="0098426A"/>
    <w:rsid w:val="00984B2C"/>
    <w:rsid w:val="009852B7"/>
    <w:rsid w:val="00985451"/>
    <w:rsid w:val="009864AD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8A1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A66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55B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222"/>
    <w:rsid w:val="009E6E25"/>
    <w:rsid w:val="009E7041"/>
    <w:rsid w:val="009E7057"/>
    <w:rsid w:val="009E7C09"/>
    <w:rsid w:val="009E7FF0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1C4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C06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8BB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25B1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5AC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44C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051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628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687A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44A"/>
    <w:rsid w:val="00B62280"/>
    <w:rsid w:val="00B623BF"/>
    <w:rsid w:val="00B639A6"/>
    <w:rsid w:val="00B6440F"/>
    <w:rsid w:val="00B651DF"/>
    <w:rsid w:val="00B65385"/>
    <w:rsid w:val="00B65E49"/>
    <w:rsid w:val="00B6670C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063"/>
    <w:rsid w:val="00B93152"/>
    <w:rsid w:val="00B9412F"/>
    <w:rsid w:val="00B945DF"/>
    <w:rsid w:val="00B94BC6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CD0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29B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A72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7A1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56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0A8A"/>
    <w:rsid w:val="00C811C5"/>
    <w:rsid w:val="00C8184D"/>
    <w:rsid w:val="00C818C4"/>
    <w:rsid w:val="00C81917"/>
    <w:rsid w:val="00C81AEE"/>
    <w:rsid w:val="00C83905"/>
    <w:rsid w:val="00C83999"/>
    <w:rsid w:val="00C83B40"/>
    <w:rsid w:val="00C85038"/>
    <w:rsid w:val="00C85994"/>
    <w:rsid w:val="00C8667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62A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87E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2BC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054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C0A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7AE"/>
    <w:rsid w:val="00DA4056"/>
    <w:rsid w:val="00DA4482"/>
    <w:rsid w:val="00DA4818"/>
    <w:rsid w:val="00DA545E"/>
    <w:rsid w:val="00DA5F87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3CD2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CBD"/>
    <w:rsid w:val="00DD1059"/>
    <w:rsid w:val="00DD1095"/>
    <w:rsid w:val="00DD1290"/>
    <w:rsid w:val="00DD1315"/>
    <w:rsid w:val="00DD1471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277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67F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8CB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5771"/>
    <w:rsid w:val="00E566FC"/>
    <w:rsid w:val="00E569E6"/>
    <w:rsid w:val="00E57312"/>
    <w:rsid w:val="00E6026C"/>
    <w:rsid w:val="00E603B8"/>
    <w:rsid w:val="00E6107E"/>
    <w:rsid w:val="00E62047"/>
    <w:rsid w:val="00E6228B"/>
    <w:rsid w:val="00E624A0"/>
    <w:rsid w:val="00E648A6"/>
    <w:rsid w:val="00E64A23"/>
    <w:rsid w:val="00E64A60"/>
    <w:rsid w:val="00E64B18"/>
    <w:rsid w:val="00E65989"/>
    <w:rsid w:val="00E65DF5"/>
    <w:rsid w:val="00E66A43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FA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13"/>
    <w:rsid w:val="00EB6DCA"/>
    <w:rsid w:val="00EB704C"/>
    <w:rsid w:val="00EB7444"/>
    <w:rsid w:val="00EB7C6B"/>
    <w:rsid w:val="00EC0D2C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58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2FD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6F4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A39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C4B"/>
    <w:rsid w:val="00F91EFB"/>
    <w:rsid w:val="00F9328F"/>
    <w:rsid w:val="00F944F1"/>
    <w:rsid w:val="00F94EF3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A56"/>
    <w:rsid w:val="00FE7A88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705D0"/>
  <w15:docId w15:val="{2B87FD0C-8215-CD4F-9182-82922D5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D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05A72"/>
    <w:rPr>
      <w:color w:val="0000FF"/>
      <w:u w:val="single"/>
    </w:rPr>
  </w:style>
  <w:style w:type="paragraph" w:customStyle="1" w:styleId="testoxRiferimento">
    <w:name w:val="testo (x Riferimento)"/>
    <w:basedOn w:val="Normale"/>
    <w:rsid w:val="00B1462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IN">
    <w:name w:val="IN"/>
    <w:rsid w:val="00B14628"/>
    <w:pPr>
      <w:spacing w:line="482" w:lineRule="exact"/>
      <w:jc w:val="both"/>
    </w:pPr>
    <w:rPr>
      <w:rFonts w:ascii="Courier" w:hAnsi="Courier"/>
      <w:sz w:val="24"/>
    </w:rPr>
  </w:style>
  <w:style w:type="paragraph" w:customStyle="1" w:styleId="a">
    <w:basedOn w:val="Normale"/>
    <w:next w:val="Corpotesto"/>
    <w:rsid w:val="00D0087E"/>
    <w:rPr>
      <w:szCs w:val="20"/>
    </w:rPr>
  </w:style>
  <w:style w:type="paragraph" w:styleId="Corpotesto">
    <w:name w:val="Body Text"/>
    <w:basedOn w:val="Normale"/>
    <w:link w:val="CorpotestoCarattere"/>
    <w:rsid w:val="00D0087E"/>
    <w:pPr>
      <w:spacing w:after="120"/>
    </w:pPr>
  </w:style>
  <w:style w:type="character" w:customStyle="1" w:styleId="CorpotestoCarattere">
    <w:name w:val="Corpo testo Carattere"/>
    <w:link w:val="Corpotesto"/>
    <w:rsid w:val="00D0087E"/>
    <w:rPr>
      <w:sz w:val="24"/>
      <w:szCs w:val="24"/>
    </w:rPr>
  </w:style>
  <w:style w:type="paragraph" w:styleId="Nessunaspaziatura">
    <w:name w:val="No Spacing"/>
    <w:uiPriority w:val="1"/>
    <w:qFormat/>
    <w:rsid w:val="002B3409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F7FAD"/>
    <w:rPr>
      <w:i/>
      <w:iCs/>
    </w:rPr>
  </w:style>
  <w:style w:type="paragraph" w:styleId="NormaleWeb">
    <w:name w:val="Normal (Web)"/>
    <w:basedOn w:val="Normale"/>
    <w:uiPriority w:val="99"/>
    <w:unhideWhenUsed/>
    <w:rsid w:val="008F7F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F7F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F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FAD"/>
  </w:style>
  <w:style w:type="character" w:styleId="Rimandonotaapidipagina">
    <w:name w:val="footnote reference"/>
    <w:rsid w:val="008F7FAD"/>
    <w:rPr>
      <w:vertAlign w:val="superscript"/>
    </w:rPr>
  </w:style>
  <w:style w:type="character" w:styleId="Rimandocommento">
    <w:name w:val="annotation reference"/>
    <w:rsid w:val="005009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09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0928"/>
  </w:style>
  <w:style w:type="paragraph" w:styleId="Soggettocommento">
    <w:name w:val="annotation subject"/>
    <w:basedOn w:val="Testocommento"/>
    <w:next w:val="Testocommento"/>
    <w:link w:val="SoggettocommentoCarattere"/>
    <w:rsid w:val="00500928"/>
    <w:rPr>
      <w:b/>
      <w:bCs/>
    </w:rPr>
  </w:style>
  <w:style w:type="character" w:customStyle="1" w:styleId="SoggettocommentoCarattere">
    <w:name w:val="Soggetto commento Carattere"/>
    <w:link w:val="Soggettocommento"/>
    <w:rsid w:val="00500928"/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E308CB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2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ec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7470</CharactersWithSpaces>
  <SharedDoc>false</SharedDoc>
  <HLinks>
    <vt:vector size="12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https://www.aricweb.unibo.it/AssegniRicerca_Richieste/index.aspx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mailto:dimec.dipartimento@pec.unibo.it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Francesca Predieri</cp:lastModifiedBy>
  <cp:revision>7</cp:revision>
  <cp:lastPrinted>2017-02-03T09:22:00Z</cp:lastPrinted>
  <dcterms:created xsi:type="dcterms:W3CDTF">2022-04-11T08:31:00Z</dcterms:created>
  <dcterms:modified xsi:type="dcterms:W3CDTF">2022-10-10T10:19:00Z</dcterms:modified>
</cp:coreProperties>
</file>